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关于举办全省新冠肺炎疫期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公共场所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集中空调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通风系统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卫生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知识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培训班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报名回执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表</w:t>
      </w:r>
    </w:p>
    <w:bookmarkEnd w:id="0"/>
    <w:tbl>
      <w:tblPr>
        <w:tblStyle w:val="10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490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02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802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640"/>
        <w:jc w:val="left"/>
        <w:rPr>
          <w:rFonts w:ascii="仿宋" w:hAnsi="仿宋" w:eastAsia="仿宋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58" w:bottom="1440" w:left="1800" w:header="567" w:footer="1134" w:gutter="0"/>
      <w:pgBorders w:display="firstPage">
        <w:bottom w:val="thickThinSmallGap" w:color="FF0000" w:sz="18" w:space="1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adjustRightInd w:val="0"/>
      <w:spacing w:line="400" w:lineRule="exact"/>
      <w:jc w:val="both"/>
      <w:rPr>
        <w:rFonts w:ascii="宋体" w:hAnsi="宋体"/>
        <w:sz w:val="28"/>
        <w:szCs w:val="28"/>
      </w:rPr>
    </w:pPr>
  </w:p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</w:p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adjustRightInd w:val="0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adjustRightInd w:val="0"/>
      <w:spacing w:line="14" w:lineRule="exac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DFF260A"/>
    <w:rsid w:val="584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kern w:val="2"/>
      <w:sz w:val="18"/>
      <w:szCs w:val="18"/>
    </w:rPr>
  </w:style>
  <w:style w:type="paragraph" w:customStyle="1" w:styleId="17">
    <w:name w:val="reader-word-layer reader-word-s3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character" w:customStyle="1" w:styleId="21">
    <w:name w:val="文档结构图 字符"/>
    <w:basedOn w:val="12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2">
    <w:name w:val="日期 字符"/>
    <w:basedOn w:val="12"/>
    <w:link w:val="4"/>
    <w:qFormat/>
    <w:uiPriority w:val="0"/>
    <w:rPr>
      <w:kern w:val="2"/>
      <w:sz w:val="21"/>
      <w:szCs w:val="24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D8965-68AF-4A2D-AB88-ADC841AD3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68</Words>
  <Characters>72</Characters>
  <Paragraphs>52</Paragraphs>
  <TotalTime>4</TotalTime>
  <ScaleCrop>false</ScaleCrop>
  <LinksUpToDate>false</LinksUpToDate>
  <CharactersWithSpaces>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2020-04-03T08:57:00Z</dcterms:created>
  <dc:creator>微软用户</dc:creator>
  <cp:lastModifiedBy>亚欣-推广</cp:lastModifiedBy>
  <cp:lastPrinted>2019-07-26T02:59:00Z</cp:lastPrinted>
  <dcterms:modified xsi:type="dcterms:W3CDTF">2020-04-11T04:53:43Z</dcterms:modified>
  <dc:title>常德市规划展示馆 试点工作实施方案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